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FB" w:rsidRPr="00A72800" w:rsidRDefault="002E13FB" w:rsidP="00A72800">
      <w:pPr>
        <w:keepNext/>
        <w:snapToGrid w:val="0"/>
        <w:spacing w:line="300" w:lineRule="atLeast"/>
        <w:jc w:val="center"/>
        <w:outlineLvl w:val="1"/>
        <w:rPr>
          <w:rFonts w:ascii="微軟正黑體" w:eastAsia="微軟正黑體" w:hAnsi="微軟正黑體"/>
          <w:sz w:val="18"/>
          <w:szCs w:val="18"/>
        </w:rPr>
      </w:pPr>
      <w:r w:rsidRPr="00037EDD">
        <w:rPr>
          <w:rFonts w:ascii="微軟正黑體" w:eastAsia="微軟正黑體" w:hAnsi="微軟正黑體" w:hint="eastAsia"/>
          <w:b/>
          <w:bCs/>
          <w:kern w:val="0"/>
          <w:sz w:val="28"/>
          <w:szCs w:val="28"/>
        </w:rPr>
        <w:t>國立臺灣大學社會工作學系博士班入學及修業辦法</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95</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1</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6</w:t>
      </w:r>
      <w:r w:rsidRPr="00037EDD">
        <w:rPr>
          <w:rFonts w:ascii="微軟正黑體" w:eastAsia="微軟正黑體" w:hAnsi="微軟正黑體" w:hint="eastAsia"/>
          <w:sz w:val="18"/>
          <w:szCs w:val="18"/>
        </w:rPr>
        <w:t>日系務會議通過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95</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4</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11</w:t>
      </w:r>
      <w:r w:rsidRPr="00037EDD">
        <w:rPr>
          <w:rFonts w:ascii="微軟正黑體" w:eastAsia="微軟正黑體" w:hAnsi="微軟正黑體" w:hint="eastAsia"/>
          <w:sz w:val="18"/>
          <w:szCs w:val="18"/>
        </w:rPr>
        <w:t>日院務會議通過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95</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5</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3</w:t>
      </w:r>
      <w:r w:rsidRPr="00037EDD">
        <w:rPr>
          <w:rFonts w:ascii="微軟正黑體" w:eastAsia="微軟正黑體" w:hAnsi="微軟正黑體" w:hint="eastAsia"/>
          <w:sz w:val="18"/>
          <w:szCs w:val="18"/>
        </w:rPr>
        <w:t>日教務處核備</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97</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1</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11</w:t>
      </w:r>
      <w:r w:rsidRPr="00037EDD">
        <w:rPr>
          <w:rFonts w:ascii="微軟正黑體" w:eastAsia="微軟正黑體" w:hAnsi="微軟正黑體" w:hint="eastAsia"/>
          <w:sz w:val="18"/>
          <w:szCs w:val="18"/>
        </w:rPr>
        <w:t>日系務會議修正通過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97</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3</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13</w:t>
      </w:r>
      <w:r w:rsidRPr="00037EDD">
        <w:rPr>
          <w:rFonts w:ascii="微軟正黑體" w:eastAsia="微軟正黑體" w:hAnsi="微軟正黑體" w:hint="eastAsia"/>
          <w:sz w:val="18"/>
          <w:szCs w:val="18"/>
        </w:rPr>
        <w:t>日院務會議通過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97</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6</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6</w:t>
      </w:r>
      <w:r w:rsidRPr="00037EDD">
        <w:rPr>
          <w:rFonts w:ascii="微軟正黑體" w:eastAsia="微軟正黑體" w:hAnsi="微軟正黑體" w:hint="eastAsia"/>
          <w:sz w:val="18"/>
          <w:szCs w:val="18"/>
        </w:rPr>
        <w:t>日教務會議通過</w:t>
      </w:r>
    </w:p>
    <w:p w:rsidR="002E13FB" w:rsidRPr="00037EDD" w:rsidRDefault="002E13FB" w:rsidP="002E13FB">
      <w:pPr>
        <w:widowControl/>
        <w:spacing w:line="300" w:lineRule="exact"/>
        <w:jc w:val="right"/>
        <w:rPr>
          <w:rFonts w:ascii="微軟正黑體" w:eastAsia="微軟正黑體" w:hAnsi="微軟正黑體"/>
          <w:sz w:val="18"/>
          <w:szCs w:val="18"/>
        </w:rPr>
      </w:pPr>
      <w:bookmarkStart w:id="0" w:name="OLE_LINK4"/>
      <w:bookmarkStart w:id="1" w:name="OLE_LINK6"/>
      <w:r w:rsidRPr="00037EDD">
        <w:rPr>
          <w:rFonts w:ascii="微軟正黑體" w:eastAsia="微軟正黑體" w:hAnsi="微軟正黑體"/>
          <w:sz w:val="18"/>
          <w:szCs w:val="18"/>
        </w:rPr>
        <w:t>99</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1</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15</w:t>
      </w:r>
      <w:r w:rsidRPr="00037EDD">
        <w:rPr>
          <w:rFonts w:ascii="微軟正黑體" w:eastAsia="微軟正黑體" w:hAnsi="微軟正黑體" w:hint="eastAsia"/>
          <w:sz w:val="18"/>
          <w:szCs w:val="18"/>
        </w:rPr>
        <w:t>日系務會議修正通過</w:t>
      </w:r>
    </w:p>
    <w:bookmarkEnd w:id="0"/>
    <w:bookmarkEnd w:id="1"/>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99</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4</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1</w:t>
      </w:r>
      <w:r w:rsidRPr="00037EDD">
        <w:rPr>
          <w:rFonts w:ascii="微軟正黑體" w:eastAsia="微軟正黑體" w:hAnsi="微軟正黑體" w:hint="eastAsia"/>
          <w:sz w:val="18"/>
          <w:szCs w:val="18"/>
        </w:rPr>
        <w:t>日院務會議修正通過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99</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6</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10</w:t>
      </w:r>
      <w:r w:rsidRPr="00037EDD">
        <w:rPr>
          <w:rFonts w:ascii="微軟正黑體" w:eastAsia="微軟正黑體" w:hAnsi="微軟正黑體" w:hint="eastAsia"/>
          <w:sz w:val="18"/>
          <w:szCs w:val="18"/>
        </w:rPr>
        <w:t>日教務會議核備通過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100</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4</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1</w:t>
      </w:r>
      <w:r w:rsidRPr="00037EDD">
        <w:rPr>
          <w:rFonts w:ascii="微軟正黑體" w:eastAsia="微軟正黑體" w:hAnsi="微軟正黑體" w:hint="eastAsia"/>
          <w:sz w:val="18"/>
          <w:szCs w:val="18"/>
        </w:rPr>
        <w:t>日系務會議修正通過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sz w:val="18"/>
          <w:szCs w:val="18"/>
        </w:rPr>
        <w:t>100</w:t>
      </w:r>
      <w:r w:rsidRPr="00037EDD">
        <w:rPr>
          <w:rFonts w:ascii="微軟正黑體" w:eastAsia="微軟正黑體" w:hAnsi="微軟正黑體" w:hint="eastAsia"/>
          <w:sz w:val="18"/>
          <w:szCs w:val="18"/>
        </w:rPr>
        <w:t>年</w:t>
      </w:r>
      <w:r w:rsidRPr="00037EDD">
        <w:rPr>
          <w:rFonts w:ascii="微軟正黑體" w:eastAsia="微軟正黑體" w:hAnsi="微軟正黑體"/>
          <w:sz w:val="18"/>
          <w:szCs w:val="18"/>
        </w:rPr>
        <w:t>5</w:t>
      </w:r>
      <w:r w:rsidRPr="00037EDD">
        <w:rPr>
          <w:rFonts w:ascii="微軟正黑體" w:eastAsia="微軟正黑體" w:hAnsi="微軟正黑體" w:hint="eastAsia"/>
          <w:sz w:val="18"/>
          <w:szCs w:val="18"/>
        </w:rPr>
        <w:t>月</w:t>
      </w:r>
      <w:r w:rsidRPr="00037EDD">
        <w:rPr>
          <w:rFonts w:ascii="微軟正黑體" w:eastAsia="微軟正黑體" w:hAnsi="微軟正黑體"/>
          <w:sz w:val="18"/>
          <w:szCs w:val="18"/>
        </w:rPr>
        <w:t>18</w:t>
      </w:r>
      <w:r w:rsidRPr="00037EDD">
        <w:rPr>
          <w:rFonts w:ascii="微軟正黑體" w:eastAsia="微軟正黑體" w:hAnsi="微軟正黑體" w:hint="eastAsia"/>
          <w:sz w:val="18"/>
          <w:szCs w:val="18"/>
        </w:rPr>
        <w:t>日系務會議修正通過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100年5月26日院務會議修正通過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100年6月10日教務會議核備通過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103年3月28日系務會議修正通過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103年04月10日院務會議修正通過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103年05月20日教務處核備通過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103年10月17日系務會議修正通過</w:t>
      </w:r>
    </w:p>
    <w:p w:rsidR="002E13FB" w:rsidRPr="00037EDD" w:rsidRDefault="002E13FB" w:rsidP="002E13FB">
      <w:pPr>
        <w:widowControl/>
        <w:spacing w:line="30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103年12月12日系務會議修正通過</w:t>
      </w:r>
    </w:p>
    <w:p w:rsidR="002E13FB" w:rsidRPr="00037EDD" w:rsidRDefault="002E13FB" w:rsidP="002E13FB">
      <w:pPr>
        <w:widowControl/>
        <w:spacing w:line="28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103年12月25日院務會議修正通過</w:t>
      </w:r>
    </w:p>
    <w:p w:rsidR="002E13FB" w:rsidRPr="00037EDD" w:rsidRDefault="002E13FB" w:rsidP="002E13FB">
      <w:pPr>
        <w:widowControl/>
        <w:spacing w:line="28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104年03月20日教務處核備通過</w:t>
      </w:r>
    </w:p>
    <w:p w:rsidR="002E13FB" w:rsidRPr="00037EDD" w:rsidRDefault="002E13FB" w:rsidP="002E13FB">
      <w:pPr>
        <w:widowControl/>
        <w:spacing w:line="28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104年6月12日系務會議修正通過</w:t>
      </w:r>
    </w:p>
    <w:p w:rsidR="002E13FB" w:rsidRDefault="002E13FB" w:rsidP="002E13FB">
      <w:pPr>
        <w:widowControl/>
        <w:spacing w:line="280" w:lineRule="exact"/>
        <w:jc w:val="right"/>
        <w:rPr>
          <w:rFonts w:ascii="微軟正黑體" w:eastAsia="微軟正黑體" w:hAnsi="微軟正黑體"/>
          <w:sz w:val="18"/>
          <w:szCs w:val="18"/>
        </w:rPr>
      </w:pPr>
      <w:r w:rsidRPr="00037EDD">
        <w:rPr>
          <w:rFonts w:ascii="微軟正黑體" w:eastAsia="微軟正黑體" w:hAnsi="微軟正黑體" w:hint="eastAsia"/>
          <w:sz w:val="18"/>
          <w:szCs w:val="18"/>
        </w:rPr>
        <w:t>104年6月25日院務會議修正通過</w:t>
      </w:r>
    </w:p>
    <w:p w:rsidR="002E13FB" w:rsidRDefault="002E13FB" w:rsidP="002E13FB">
      <w:pPr>
        <w:widowControl/>
        <w:spacing w:line="280" w:lineRule="exact"/>
        <w:jc w:val="right"/>
        <w:rPr>
          <w:rFonts w:ascii="微軟正黑體" w:eastAsia="微軟正黑體" w:hAnsi="微軟正黑體"/>
          <w:sz w:val="18"/>
          <w:szCs w:val="18"/>
        </w:rPr>
      </w:pPr>
      <w:r w:rsidRPr="000709F2">
        <w:rPr>
          <w:rFonts w:ascii="微軟正黑體" w:eastAsia="微軟正黑體" w:hAnsi="微軟正黑體" w:hint="eastAsia"/>
          <w:sz w:val="18"/>
          <w:szCs w:val="18"/>
        </w:rPr>
        <w:t>107年1月12日</w:t>
      </w:r>
      <w:r w:rsidRPr="00037EDD">
        <w:rPr>
          <w:rFonts w:ascii="微軟正黑體" w:eastAsia="微軟正黑體" w:hAnsi="微軟正黑體" w:hint="eastAsia"/>
          <w:sz w:val="18"/>
          <w:szCs w:val="18"/>
        </w:rPr>
        <w:t>系務會議修正通過</w:t>
      </w:r>
    </w:p>
    <w:p w:rsidR="00E854C3" w:rsidRPr="00037EDD" w:rsidRDefault="00E854C3" w:rsidP="002E13FB">
      <w:pPr>
        <w:widowControl/>
        <w:spacing w:line="280" w:lineRule="exact"/>
        <w:jc w:val="right"/>
        <w:rPr>
          <w:rFonts w:ascii="微軟正黑體" w:eastAsia="微軟正黑體" w:hAnsi="微軟正黑體"/>
          <w:sz w:val="18"/>
          <w:szCs w:val="18"/>
        </w:rPr>
      </w:pPr>
      <w:r w:rsidRPr="00E854C3">
        <w:rPr>
          <w:rFonts w:ascii="微軟正黑體" w:eastAsia="微軟正黑體" w:hAnsi="微軟正黑體" w:hint="eastAsia"/>
          <w:sz w:val="18"/>
          <w:szCs w:val="18"/>
        </w:rPr>
        <w:t>107年6月22日系務會議修正通過</w:t>
      </w:r>
    </w:p>
    <w:p w:rsidR="002E13FB" w:rsidRPr="00037EDD" w:rsidRDefault="002E13FB" w:rsidP="002E13FB">
      <w:pPr>
        <w:widowControl/>
        <w:spacing w:line="280" w:lineRule="exact"/>
        <w:rPr>
          <w:rFonts w:ascii="微軟正黑體" w:eastAsia="微軟正黑體" w:hAnsi="微軟正黑體"/>
          <w:sz w:val="18"/>
          <w:szCs w:val="18"/>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cs="新細明體" w:hint="eastAsia"/>
          <w:b/>
          <w:kern w:val="0"/>
          <w:sz w:val="22"/>
          <w:szCs w:val="22"/>
        </w:rPr>
        <w:t>第一條</w:t>
      </w:r>
      <w:r w:rsidRPr="00037EDD">
        <w:rPr>
          <w:rFonts w:ascii="微軟正黑體" w:eastAsia="微軟正黑體" w:hAnsi="微軟正黑體" w:hint="eastAsia"/>
          <w:sz w:val="22"/>
          <w:szCs w:val="22"/>
        </w:rPr>
        <w:t>〈宗旨〉</w:t>
      </w:r>
    </w:p>
    <w:p w:rsidR="002E13FB" w:rsidRPr="00037EDD" w:rsidRDefault="002E13FB" w:rsidP="002E13FB">
      <w:pPr>
        <w:widowControl/>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國立臺灣大學社會科學院社會工作學系</w:t>
      </w:r>
      <w:r w:rsidRPr="00037EDD">
        <w:rPr>
          <w:rFonts w:ascii="微軟正黑體" w:eastAsia="微軟正黑體" w:hAnsi="微軟正黑體"/>
          <w:sz w:val="22"/>
          <w:szCs w:val="22"/>
        </w:rPr>
        <w:t>(</w:t>
      </w:r>
      <w:r w:rsidRPr="00037EDD">
        <w:rPr>
          <w:rFonts w:ascii="微軟正黑體" w:eastAsia="微軟正黑體" w:hAnsi="微軟正黑體" w:hint="eastAsia"/>
          <w:sz w:val="22"/>
          <w:szCs w:val="22"/>
        </w:rPr>
        <w:t>以下簡稱本系</w:t>
      </w:r>
      <w:r w:rsidRPr="00037EDD">
        <w:rPr>
          <w:rFonts w:ascii="微軟正黑體" w:eastAsia="微軟正黑體" w:hAnsi="微軟正黑體"/>
          <w:sz w:val="22"/>
          <w:szCs w:val="22"/>
        </w:rPr>
        <w:t>)</w:t>
      </w:r>
      <w:r w:rsidRPr="00037EDD">
        <w:rPr>
          <w:rFonts w:ascii="微軟正黑體" w:eastAsia="微軟正黑體" w:hAnsi="微軟正黑體" w:hint="eastAsia"/>
          <w:sz w:val="22"/>
          <w:szCs w:val="22"/>
        </w:rPr>
        <w:t>為培養社會工作、社會福利與社會政策學術、研究及實務專業人才，特訂定本辦法。</w:t>
      </w:r>
    </w:p>
    <w:p w:rsidR="002E13FB" w:rsidRPr="00037EDD" w:rsidRDefault="002E13FB" w:rsidP="002E13FB">
      <w:pPr>
        <w:widowControl/>
        <w:spacing w:line="340" w:lineRule="exact"/>
        <w:rPr>
          <w:rFonts w:ascii="微軟正黑體" w:eastAsia="微軟正黑體" w:hAnsi="微軟正黑體" w:cs="新細明體"/>
          <w:kern w:val="0"/>
          <w:sz w:val="22"/>
          <w:szCs w:val="22"/>
        </w:rPr>
      </w:pP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b/>
          <w:kern w:val="0"/>
          <w:sz w:val="22"/>
          <w:szCs w:val="22"/>
        </w:rPr>
        <w:t>第二條</w:t>
      </w:r>
      <w:r w:rsidRPr="00037EDD">
        <w:rPr>
          <w:rFonts w:ascii="微軟正黑體" w:eastAsia="微軟正黑體" w:hAnsi="微軟正黑體" w:cs="新細明體" w:hint="eastAsia"/>
          <w:kern w:val="0"/>
          <w:sz w:val="22"/>
          <w:szCs w:val="22"/>
        </w:rPr>
        <w:t>〈博士班入學報考資格與考試〉</w:t>
      </w: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〈博士班入學報考資格〉</w:t>
      </w:r>
      <w:r w:rsidRPr="00037EDD">
        <w:rPr>
          <w:rFonts w:ascii="微軟正黑體" w:eastAsia="微軟正黑體" w:hAnsi="微軟正黑體" w:cs="新細明體"/>
          <w:kern w:val="0"/>
          <w:sz w:val="22"/>
          <w:szCs w:val="22"/>
        </w:rPr>
        <w:br/>
      </w:r>
      <w:r w:rsidRPr="00037EDD">
        <w:rPr>
          <w:rFonts w:ascii="微軟正黑體" w:eastAsia="微軟正黑體" w:hAnsi="微軟正黑體" w:cs="新細明體" w:hint="eastAsia"/>
          <w:kern w:val="0"/>
          <w:sz w:val="22"/>
          <w:szCs w:val="22"/>
        </w:rPr>
        <w:t>凡具有以下資格之一者，得取得報考資格。</w:t>
      </w: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一、具國內大學、獨立學院或經教育部承認之國外大學社會工作、社會政策、社會福利碩士學位者。</w:t>
      </w: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二、 具國內大學、獨立學院或經教育部承認之國外大學社會科學、行為科學相關碩士，且大學時期主修社會工作、社會政策或社會福利者。</w:t>
      </w: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三、 具國內大學、獨立學院或經教育部承認之國外大學社會科學、行為科學相關碩士學位，且在社會工作、社會福利專業組織或機關(構)任專職工作三年以上者。</w:t>
      </w:r>
    </w:p>
    <w:p w:rsidR="002E13FB" w:rsidRPr="00037EDD" w:rsidRDefault="002E13FB" w:rsidP="002E13FB">
      <w:pPr>
        <w:widowControl/>
        <w:spacing w:line="340" w:lineRule="exact"/>
        <w:rPr>
          <w:rFonts w:ascii="微軟正黑體" w:eastAsia="微軟正黑體" w:hAnsi="微軟正黑體" w:cs="新細明體"/>
          <w:b/>
          <w:kern w:val="0"/>
          <w:sz w:val="22"/>
          <w:szCs w:val="22"/>
        </w:rPr>
      </w:pPr>
      <w:r w:rsidRPr="00037EDD">
        <w:rPr>
          <w:rFonts w:ascii="微軟正黑體" w:eastAsia="微軟正黑體" w:hAnsi="微軟正黑體" w:cs="新細明體" w:hint="eastAsia"/>
          <w:b/>
          <w:kern w:val="0"/>
          <w:sz w:val="22"/>
          <w:szCs w:val="22"/>
        </w:rPr>
        <w:t>〈博士班入學考試〉</w:t>
      </w: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博士班之入學考試包括資</w:t>
      </w:r>
      <w:r w:rsidRPr="00037EDD">
        <w:rPr>
          <w:rFonts w:ascii="微軟正黑體" w:eastAsia="微軟正黑體" w:hAnsi="微軟正黑體" w:cs="新細明體" w:hint="eastAsia"/>
          <w:b/>
          <w:kern w:val="0"/>
          <w:sz w:val="22"/>
          <w:szCs w:val="22"/>
          <w:u w:val="single"/>
        </w:rPr>
        <w:t>料</w:t>
      </w:r>
      <w:r w:rsidRPr="00037EDD">
        <w:rPr>
          <w:rFonts w:ascii="微軟正黑體" w:eastAsia="微軟正黑體" w:hAnsi="微軟正黑體" w:cs="新細明體" w:hint="eastAsia"/>
          <w:kern w:val="0"/>
          <w:sz w:val="22"/>
          <w:szCs w:val="22"/>
        </w:rPr>
        <w:t>審查、筆試、口試等三項。審查成績占總分的百分之三十、筆試成績占總分的百分之四十，口試成績占總分的百分之三十。筆試科目為社會政策與社會工作、社會研究方法(含統計)，兩科各占筆試成績的百分之五十。筆試及審查成績排名占錄取名額三倍以內者得參加口試。</w:t>
      </w:r>
    </w:p>
    <w:p w:rsidR="002E13FB" w:rsidRPr="00037EDD" w:rsidRDefault="002E13FB" w:rsidP="002E13FB">
      <w:pPr>
        <w:widowControl/>
        <w:spacing w:line="340" w:lineRule="exact"/>
        <w:rPr>
          <w:rFonts w:ascii="微軟正黑體" w:eastAsia="微軟正黑體" w:hAnsi="微軟正黑體" w:cs="新細明體"/>
          <w:b/>
          <w:kern w:val="0"/>
          <w:sz w:val="22"/>
          <w:szCs w:val="22"/>
          <w:u w:val="single"/>
        </w:rPr>
      </w:pP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〈博士班入學考試委員〉</w:t>
      </w: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筆試委員由本系招生委員會依專長聘請本系專任教師擔任之。每一科目至少二人。</w:t>
      </w:r>
    </w:p>
    <w:p w:rsidR="002E13FB" w:rsidRPr="00037EDD" w:rsidRDefault="002E13FB" w:rsidP="002E13FB">
      <w:pPr>
        <w:widowControl/>
        <w:spacing w:line="340" w:lineRule="exact"/>
        <w:rPr>
          <w:rFonts w:ascii="微軟正黑體" w:eastAsia="微軟正黑體" w:hAnsi="微軟正黑體"/>
          <w:sz w:val="22"/>
          <w:szCs w:val="22"/>
        </w:rPr>
      </w:pPr>
      <w:r w:rsidRPr="00037EDD">
        <w:rPr>
          <w:rFonts w:ascii="微軟正黑體" w:eastAsia="微軟正黑體" w:hAnsi="微軟正黑體" w:cs="新細明體" w:hint="eastAsia"/>
          <w:kern w:val="0"/>
          <w:sz w:val="22"/>
          <w:szCs w:val="22"/>
        </w:rPr>
        <w:t>口試委員由本系招生委員會聘請本系專任教師至少五人擔任之。</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b/>
          <w:kern w:val="0"/>
          <w:sz w:val="22"/>
          <w:szCs w:val="22"/>
        </w:rPr>
        <w:t>第三條</w:t>
      </w:r>
      <w:r w:rsidRPr="00037EDD">
        <w:rPr>
          <w:rFonts w:ascii="微軟正黑體" w:eastAsia="微軟正黑體" w:hAnsi="微軟正黑體" w:cs="新細明體"/>
          <w:kern w:val="0"/>
          <w:sz w:val="22"/>
          <w:szCs w:val="22"/>
        </w:rPr>
        <w:t xml:space="preserve"> </w:t>
      </w:r>
      <w:r w:rsidRPr="00037EDD">
        <w:rPr>
          <w:rFonts w:ascii="微軟正黑體" w:eastAsia="微軟正黑體" w:hAnsi="微軟正黑體" w:cs="新細明體" w:hint="eastAsia"/>
          <w:kern w:val="0"/>
          <w:sz w:val="22"/>
          <w:szCs w:val="22"/>
        </w:rPr>
        <w:t>〈修業期限、應修課程與學分〉</w:t>
      </w: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〈修業期限〉</w:t>
      </w:r>
    </w:p>
    <w:p w:rsidR="002E13FB" w:rsidRPr="00037EDD" w:rsidRDefault="002E13FB" w:rsidP="002E13FB">
      <w:pPr>
        <w:widowControl/>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博士班修業年限以二年至七年為限。</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〈應修課程與學分〉</w:t>
      </w:r>
      <w:r w:rsidRPr="00037EDD">
        <w:rPr>
          <w:rFonts w:ascii="微軟正黑體" w:eastAsia="微軟正黑體" w:hAnsi="微軟正黑體" w:cs="新細明體"/>
          <w:kern w:val="0"/>
          <w:sz w:val="22"/>
          <w:szCs w:val="22"/>
        </w:rPr>
        <w:br/>
      </w:r>
      <w:r w:rsidRPr="00037EDD">
        <w:rPr>
          <w:rFonts w:ascii="微軟正黑體" w:eastAsia="微軟正黑體" w:hAnsi="微軟正黑體" w:cs="新細明體" w:hint="eastAsia"/>
          <w:kern w:val="0"/>
          <w:sz w:val="22"/>
          <w:szCs w:val="22"/>
        </w:rPr>
        <w:t>本系博士班學生〈以下簡稱博士生〉應修課程與學分，須符合下列規定</w:t>
      </w:r>
      <w:r w:rsidRPr="00037EDD">
        <w:rPr>
          <w:rFonts w:ascii="微軟正黑體" w:eastAsia="微軟正黑體" w:hAnsi="微軟正黑體" w:cs="新細明體"/>
          <w:kern w:val="0"/>
          <w:sz w:val="22"/>
          <w:szCs w:val="22"/>
        </w:rPr>
        <w:t xml:space="preserve"> </w:t>
      </w:r>
      <w:r w:rsidRPr="00037EDD">
        <w:rPr>
          <w:rFonts w:ascii="微軟正黑體" w:eastAsia="微軟正黑體" w:hAnsi="微軟正黑體" w:cs="新細明體" w:hint="eastAsia"/>
          <w:kern w:val="0"/>
          <w:sz w:val="22"/>
          <w:szCs w:val="22"/>
        </w:rPr>
        <w:t>：</w:t>
      </w:r>
      <w:r w:rsidRPr="00037EDD">
        <w:rPr>
          <w:rFonts w:ascii="微軟正黑體" w:eastAsia="微軟正黑體" w:hAnsi="微軟正黑體" w:cs="新細明體"/>
          <w:kern w:val="0"/>
          <w:sz w:val="22"/>
          <w:szCs w:val="22"/>
        </w:rPr>
        <w:br/>
      </w:r>
      <w:r w:rsidRPr="00037EDD">
        <w:rPr>
          <w:rFonts w:ascii="微軟正黑體" w:eastAsia="微軟正黑體" w:hAnsi="微軟正黑體" w:cs="新細明體" w:hint="eastAsia"/>
          <w:kern w:val="0"/>
          <w:sz w:val="22"/>
          <w:szCs w:val="22"/>
        </w:rPr>
        <w:t>一、</w:t>
      </w:r>
      <w:r w:rsidRPr="00037EDD">
        <w:rPr>
          <w:rFonts w:ascii="微軟正黑體" w:eastAsia="微軟正黑體" w:hAnsi="微軟正黑體" w:cs="新細明體"/>
          <w:kern w:val="0"/>
          <w:sz w:val="22"/>
          <w:szCs w:val="22"/>
        </w:rPr>
        <w:t xml:space="preserve"> </w:t>
      </w:r>
      <w:r w:rsidRPr="00037EDD">
        <w:rPr>
          <w:rFonts w:ascii="微軟正黑體" w:eastAsia="微軟正黑體" w:hAnsi="微軟正黑體" w:cs="新細明體" w:hint="eastAsia"/>
          <w:kern w:val="0"/>
          <w:sz w:val="22"/>
          <w:szCs w:val="22"/>
        </w:rPr>
        <w:t>至少應修習</w:t>
      </w:r>
      <w:r w:rsidRPr="00037EDD">
        <w:rPr>
          <w:rFonts w:ascii="微軟正黑體" w:eastAsia="微軟正黑體" w:hAnsi="微軟正黑體" w:cs="新細明體"/>
          <w:kern w:val="0"/>
          <w:sz w:val="22"/>
          <w:szCs w:val="22"/>
        </w:rPr>
        <w:t>35</w:t>
      </w:r>
      <w:r w:rsidRPr="00037EDD">
        <w:rPr>
          <w:rFonts w:ascii="微軟正黑體" w:eastAsia="微軟正黑體" w:hAnsi="微軟正黑體" w:cs="新細明體" w:hint="eastAsia"/>
          <w:kern w:val="0"/>
          <w:sz w:val="22"/>
          <w:szCs w:val="22"/>
        </w:rPr>
        <w:t>學分〈其中需包含必修課程四門及選修課程至少十一門，但不含論文寫作</w:t>
      </w:r>
      <w:r w:rsidRPr="00037EDD">
        <w:rPr>
          <w:rFonts w:ascii="微軟正黑體" w:eastAsia="微軟正黑體" w:hAnsi="微軟正黑體" w:cs="新細明體"/>
          <w:kern w:val="0"/>
          <w:sz w:val="22"/>
          <w:szCs w:val="22"/>
        </w:rPr>
        <w:t>12</w:t>
      </w:r>
      <w:r w:rsidRPr="00037EDD">
        <w:rPr>
          <w:rFonts w:ascii="微軟正黑體" w:eastAsia="微軟正黑體" w:hAnsi="微軟正黑體" w:cs="新細明體" w:hint="eastAsia"/>
          <w:kern w:val="0"/>
          <w:sz w:val="22"/>
          <w:szCs w:val="22"/>
        </w:rPr>
        <w:t>學分〉始得畢業；</w:t>
      </w:r>
      <w:r w:rsidRPr="00037EDD">
        <w:rPr>
          <w:rFonts w:ascii="華康儷宋 Std W5" w:eastAsia="華康儷宋 Std W5" w:hAnsi="華康儷宋 Std W5" w:hint="eastAsia"/>
          <w:b/>
          <w:kern w:val="0"/>
          <w:sz w:val="20"/>
          <w:szCs w:val="22"/>
          <w:u w:val="single"/>
        </w:rPr>
        <w:t>「</w:t>
      </w:r>
      <w:r w:rsidRPr="00254978">
        <w:rPr>
          <w:rFonts w:ascii="華康儷宋 Std W5" w:eastAsia="華康儷宋 Std W5" w:hAnsi="華康儷宋 Std W5" w:hint="eastAsia"/>
          <w:b/>
          <w:color w:val="000000" w:themeColor="text1"/>
          <w:kern w:val="0"/>
          <w:sz w:val="22"/>
          <w:szCs w:val="22"/>
          <w:u w:val="single"/>
        </w:rPr>
        <w:t>逕行修讀博士學位學生」尚須完成修習碩士班三門必修課程：社會工作理論、社會工作研究法、社會工作實習(此課程得選擇改為本系M字頭選修課一門</w:t>
      </w:r>
      <w:r w:rsidRPr="00037EDD">
        <w:rPr>
          <w:rFonts w:ascii="華康儷宋 Std W5" w:eastAsia="華康儷宋 Std W5" w:hAnsi="華康儷宋 Std W5" w:hint="eastAsia"/>
          <w:b/>
          <w:kern w:val="0"/>
          <w:sz w:val="20"/>
          <w:szCs w:val="22"/>
          <w:u w:val="single"/>
        </w:rPr>
        <w:t>)。</w:t>
      </w:r>
      <w:r w:rsidRPr="00037EDD">
        <w:rPr>
          <w:rFonts w:ascii="微軟正黑體" w:eastAsia="微軟正黑體" w:hAnsi="微軟正黑體" w:cs="新細明體"/>
          <w:kern w:val="0"/>
          <w:sz w:val="22"/>
          <w:szCs w:val="22"/>
        </w:rPr>
        <w:br/>
      </w:r>
      <w:r w:rsidRPr="00037EDD">
        <w:rPr>
          <w:rFonts w:ascii="微軟正黑體" w:eastAsia="微軟正黑體" w:hAnsi="微軟正黑體" w:cs="新細明體" w:hint="eastAsia"/>
          <w:kern w:val="0"/>
          <w:sz w:val="22"/>
          <w:szCs w:val="22"/>
        </w:rPr>
        <w:t>二、</w:t>
      </w:r>
      <w:r w:rsidRPr="00037EDD">
        <w:rPr>
          <w:rFonts w:ascii="微軟正黑體" w:eastAsia="微軟正黑體" w:hAnsi="微軟正黑體" w:cs="新細明體"/>
          <w:kern w:val="0"/>
          <w:sz w:val="22"/>
          <w:szCs w:val="22"/>
        </w:rPr>
        <w:t xml:space="preserve"> </w:t>
      </w:r>
    </w:p>
    <w:p w:rsidR="002E13FB" w:rsidRPr="00037EDD" w:rsidRDefault="002E13FB" w:rsidP="002E13FB">
      <w:pPr>
        <w:numPr>
          <w:ilvl w:val="0"/>
          <w:numId w:val="1"/>
        </w:num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博士生修畢必修課</w:t>
      </w:r>
      <w:r w:rsidRPr="00037EDD">
        <w:rPr>
          <w:rFonts w:ascii="微軟正黑體" w:eastAsia="微軟正黑體" w:hAnsi="微軟正黑體" w:cs="新細明體"/>
          <w:kern w:val="0"/>
          <w:sz w:val="22"/>
          <w:szCs w:val="22"/>
        </w:rPr>
        <w:t>1</w:t>
      </w:r>
      <w:r w:rsidRPr="00037EDD">
        <w:rPr>
          <w:rFonts w:ascii="微軟正黑體" w:eastAsia="微軟正黑體" w:hAnsi="微軟正黑體" w:cs="新細明體" w:hint="eastAsia"/>
          <w:kern w:val="0"/>
          <w:sz w:val="22"/>
          <w:szCs w:val="22"/>
        </w:rPr>
        <w:t>2學分〈不含博士論文與獨立研究〉及至少六門選修課後，始得申請參加資格考試。</w:t>
      </w:r>
    </w:p>
    <w:p w:rsidR="002E13FB" w:rsidRPr="00037EDD" w:rsidRDefault="002E13FB" w:rsidP="002E13FB">
      <w:pPr>
        <w:numPr>
          <w:ilvl w:val="0"/>
          <w:numId w:val="1"/>
        </w:numPr>
        <w:spacing w:line="340" w:lineRule="exact"/>
        <w:rPr>
          <w:rFonts w:ascii="華康儷宋 Std W5" w:eastAsia="華康儷宋 Std W5" w:hAnsi="華康儷宋 Std W5"/>
          <w:b/>
          <w:kern w:val="0"/>
          <w:sz w:val="20"/>
          <w:szCs w:val="22"/>
          <w:u w:val="single"/>
        </w:rPr>
      </w:pPr>
      <w:r w:rsidRPr="00254978">
        <w:rPr>
          <w:rFonts w:ascii="華康儷宋 Std W5" w:eastAsia="華康儷宋 Std W5" w:hAnsi="華康儷宋 Std W5" w:hint="eastAsia"/>
          <w:b/>
          <w:color w:val="000000" w:themeColor="text1"/>
          <w:kern w:val="0"/>
          <w:sz w:val="22"/>
          <w:szCs w:val="22"/>
          <w:u w:val="single"/>
        </w:rPr>
        <w:t>「逕行修讀博士學位學生」除上述博士班課程外，須完成修習碩士班社會工作理論、社會工作研究法課程始得申請參加資格考試</w:t>
      </w:r>
      <w:r w:rsidRPr="00254978">
        <w:rPr>
          <w:rFonts w:ascii="華康儷宋 Std W5" w:eastAsia="華康儷宋 Std W5" w:hAnsi="華康儷宋 Std W5" w:hint="eastAsia"/>
          <w:b/>
          <w:color w:val="000000" w:themeColor="text1"/>
          <w:kern w:val="0"/>
          <w:sz w:val="20"/>
          <w:szCs w:val="22"/>
          <w:u w:val="single"/>
        </w:rPr>
        <w:t>。</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三、</w:t>
      </w:r>
      <w:r w:rsidRPr="00037EDD">
        <w:rPr>
          <w:rFonts w:ascii="微軟正黑體" w:eastAsia="微軟正黑體" w:hAnsi="微軟正黑體" w:cs="新細明體"/>
          <w:kern w:val="0"/>
          <w:sz w:val="22"/>
          <w:szCs w:val="22"/>
        </w:rPr>
        <w:t xml:space="preserve"> </w:t>
      </w:r>
      <w:r w:rsidRPr="00037EDD">
        <w:rPr>
          <w:rFonts w:ascii="微軟正黑體" w:eastAsia="微軟正黑體" w:hAnsi="微軟正黑體" w:cs="新細明體" w:hint="eastAsia"/>
          <w:kern w:val="0"/>
          <w:sz w:val="22"/>
          <w:szCs w:val="22"/>
        </w:rPr>
        <w:t>除必修課程四門</w:t>
      </w:r>
      <w:r w:rsidRPr="00037EDD">
        <w:rPr>
          <w:rFonts w:ascii="微軟正黑體" w:eastAsia="微軟正黑體" w:hAnsi="微軟正黑體" w:cs="新細明體"/>
          <w:kern w:val="0"/>
          <w:sz w:val="22"/>
          <w:szCs w:val="22"/>
        </w:rPr>
        <w:t>(</w:t>
      </w:r>
      <w:r w:rsidRPr="00037EDD">
        <w:rPr>
          <w:rFonts w:ascii="微軟正黑體" w:eastAsia="微軟正黑體" w:hAnsi="微軟正黑體" w:cs="新細明體" w:hint="eastAsia"/>
          <w:kern w:val="0"/>
          <w:sz w:val="22"/>
          <w:szCs w:val="22"/>
        </w:rPr>
        <w:t>不含博士論文與博士論文寫作討論</w:t>
      </w:r>
      <w:r w:rsidRPr="00037EDD">
        <w:rPr>
          <w:rFonts w:ascii="微軟正黑體" w:eastAsia="微軟正黑體" w:hAnsi="微軟正黑體" w:cs="新細明體"/>
          <w:kern w:val="0"/>
          <w:sz w:val="22"/>
          <w:szCs w:val="22"/>
        </w:rPr>
        <w:t>)</w:t>
      </w:r>
      <w:r w:rsidRPr="00037EDD">
        <w:rPr>
          <w:rFonts w:ascii="微軟正黑體" w:eastAsia="微軟正黑體" w:hAnsi="微軟正黑體" w:cs="新細明體" w:hint="eastAsia"/>
          <w:kern w:val="0"/>
          <w:sz w:val="22"/>
          <w:szCs w:val="22"/>
        </w:rPr>
        <w:t>外，博士生應在本系開設之博士班選修課程修習至少三門，另應就社會科學課程群組中至少選擇二門以上修習。</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四、選修課程中，碩士班課程最多承認三門選修課(不包含</w:t>
      </w:r>
      <w:r w:rsidRPr="00037EDD">
        <w:rPr>
          <w:rFonts w:ascii="華康儷宋 Std W5" w:eastAsia="華康儷宋 Std W5" w:hAnsi="華康儷宋 Std W5" w:hint="eastAsia"/>
          <w:b/>
          <w:kern w:val="0"/>
          <w:sz w:val="20"/>
          <w:szCs w:val="22"/>
          <w:u w:val="single"/>
        </w:rPr>
        <w:t>「</w:t>
      </w:r>
      <w:r w:rsidRPr="00254978">
        <w:rPr>
          <w:rFonts w:ascii="華康儷宋 Std W5" w:eastAsia="華康儷宋 Std W5" w:hAnsi="華康儷宋 Std W5" w:hint="eastAsia"/>
          <w:b/>
          <w:color w:val="000000" w:themeColor="text1"/>
          <w:kern w:val="0"/>
          <w:sz w:val="22"/>
          <w:szCs w:val="22"/>
          <w:u w:val="single"/>
        </w:rPr>
        <w:t>逕行修讀博士學位學生」應修習之碩士班三門必修課程</w:t>
      </w:r>
      <w:r w:rsidRPr="00037EDD">
        <w:rPr>
          <w:rFonts w:ascii="微軟正黑體" w:eastAsia="微軟正黑體" w:hAnsi="微軟正黑體" w:cs="新細明體" w:hint="eastAsia"/>
          <w:kern w:val="0"/>
          <w:sz w:val="22"/>
          <w:szCs w:val="22"/>
        </w:rPr>
        <w:t>)。</w:t>
      </w:r>
    </w:p>
    <w:p w:rsidR="002E13FB" w:rsidRPr="00037EDD" w:rsidRDefault="002E13FB" w:rsidP="002E13FB">
      <w:pPr>
        <w:spacing w:line="340" w:lineRule="exact"/>
        <w:rPr>
          <w:rFonts w:ascii="微軟正黑體" w:eastAsia="微軟正黑體" w:hAnsi="微軟正黑體" w:cs="新細明體"/>
          <w:kern w:val="0"/>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第四條</w:t>
      </w:r>
      <w:r w:rsidRPr="00037EDD">
        <w:rPr>
          <w:rFonts w:ascii="微軟正黑體" w:eastAsia="微軟正黑體" w:hAnsi="微軟正黑體"/>
          <w:b/>
          <w:sz w:val="22"/>
          <w:szCs w:val="22"/>
        </w:rPr>
        <w:t xml:space="preserve"> </w:t>
      </w:r>
      <w:r w:rsidRPr="00037EDD">
        <w:rPr>
          <w:rFonts w:ascii="微軟正黑體" w:eastAsia="微軟正黑體" w:hAnsi="微軟正黑體" w:hint="eastAsia"/>
          <w:sz w:val="22"/>
          <w:szCs w:val="22"/>
        </w:rPr>
        <w:t>〈每學期修習學分數〉</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博士生入學後第一學年至少應修習四個科目，並自第二學年起得修習〈獨立研究〉，以一次為限，計兩學分。</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第五條</w:t>
      </w:r>
      <w:r w:rsidRPr="00037EDD">
        <w:rPr>
          <w:rFonts w:ascii="微軟正黑體" w:eastAsia="微軟正黑體" w:hAnsi="微軟正黑體"/>
          <w:sz w:val="22"/>
          <w:szCs w:val="22"/>
        </w:rPr>
        <w:t xml:space="preserve"> </w:t>
      </w:r>
      <w:r w:rsidRPr="00037EDD">
        <w:rPr>
          <w:rFonts w:ascii="微軟正黑體" w:eastAsia="微軟正黑體" w:hAnsi="微軟正黑體" w:hint="eastAsia"/>
          <w:sz w:val="22"/>
          <w:szCs w:val="22"/>
        </w:rPr>
        <w:t>〈學分抵免〉</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博士生曾於國內大學、獨立學院或經教育部承認之國外大學修習博士班課程，入學後第一學期得申請學分抵免，經博士班委員會核定後，至多得抵免六學分。</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第六條</w:t>
      </w:r>
      <w:r w:rsidRPr="00037EDD">
        <w:rPr>
          <w:rFonts w:ascii="微軟正黑體" w:eastAsia="微軟正黑體" w:hAnsi="微軟正黑體" w:hint="eastAsia"/>
          <w:sz w:val="22"/>
          <w:szCs w:val="22"/>
        </w:rPr>
        <w:t>〈補修科目〉</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本系博士班委員會得依個別博士生之學術背景及研究方向，要求其補修指定之科目，但經指定補修之科目若為大學部和碩士班科目者，不列計博士畢業學分。</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第七條</w:t>
      </w:r>
      <w:r w:rsidRPr="00037EDD">
        <w:rPr>
          <w:rFonts w:ascii="微軟正黑體" w:eastAsia="微軟正黑體" w:hAnsi="微軟正黑體" w:hint="eastAsia"/>
          <w:sz w:val="22"/>
          <w:szCs w:val="22"/>
        </w:rPr>
        <w:t>〈成績考評〉</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博士生所修課成績以B-為及格，成績考評方式由授課教師決定之。</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第八條</w:t>
      </w:r>
      <w:r w:rsidRPr="00037EDD">
        <w:rPr>
          <w:rFonts w:ascii="微軟正黑體" w:eastAsia="微軟正黑體" w:hAnsi="微軟正黑體"/>
          <w:sz w:val="22"/>
          <w:szCs w:val="22"/>
        </w:rPr>
        <w:t xml:space="preserve"> </w:t>
      </w:r>
      <w:r w:rsidRPr="00037EDD">
        <w:rPr>
          <w:rFonts w:ascii="微軟正黑體" w:eastAsia="微軟正黑體" w:hAnsi="微軟正黑體" w:hint="eastAsia"/>
          <w:sz w:val="22"/>
          <w:szCs w:val="22"/>
        </w:rPr>
        <w:t>〈指導教授及口試委員資格〉</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博士論文指導教授及口試委員應具備與博士生論文專長相關，且符合下列資格之一者：</w:t>
      </w:r>
    </w:p>
    <w:p w:rsidR="002E13FB" w:rsidRPr="00037EDD" w:rsidRDefault="002E13FB" w:rsidP="002E13FB">
      <w:pPr>
        <w:spacing w:line="340" w:lineRule="exact"/>
        <w:ind w:left="480"/>
        <w:rPr>
          <w:rFonts w:ascii="微軟正黑體" w:eastAsia="微軟正黑體" w:hAnsi="微軟正黑體"/>
          <w:sz w:val="22"/>
          <w:szCs w:val="22"/>
        </w:rPr>
      </w:pPr>
      <w:r w:rsidRPr="00037EDD">
        <w:rPr>
          <w:rFonts w:ascii="微軟正黑體" w:eastAsia="微軟正黑體" w:hAnsi="微軟正黑體"/>
          <w:sz w:val="22"/>
          <w:szCs w:val="22"/>
        </w:rPr>
        <w:t>1.</w:t>
      </w:r>
      <w:r w:rsidRPr="00037EDD">
        <w:rPr>
          <w:rFonts w:ascii="微軟正黑體" w:eastAsia="微軟正黑體" w:hAnsi="微軟正黑體" w:hint="eastAsia"/>
          <w:sz w:val="22"/>
          <w:szCs w:val="22"/>
        </w:rPr>
        <w:t>曾任教授者。</w:t>
      </w:r>
    </w:p>
    <w:p w:rsidR="002E13FB" w:rsidRPr="00037EDD" w:rsidRDefault="002E13FB" w:rsidP="002E13FB">
      <w:pPr>
        <w:spacing w:line="340" w:lineRule="exact"/>
        <w:ind w:left="480"/>
        <w:rPr>
          <w:rFonts w:ascii="微軟正黑體" w:eastAsia="微軟正黑體" w:hAnsi="微軟正黑體"/>
          <w:sz w:val="22"/>
          <w:szCs w:val="22"/>
        </w:rPr>
      </w:pPr>
      <w:r w:rsidRPr="00037EDD">
        <w:rPr>
          <w:rFonts w:ascii="微軟正黑體" w:eastAsia="微軟正黑體" w:hAnsi="微軟正黑體"/>
          <w:sz w:val="22"/>
          <w:szCs w:val="22"/>
        </w:rPr>
        <w:t>2.</w:t>
      </w:r>
      <w:r w:rsidRPr="00037EDD">
        <w:rPr>
          <w:rFonts w:ascii="微軟正黑體" w:eastAsia="微軟正黑體" w:hAnsi="微軟正黑體" w:hint="eastAsia"/>
          <w:sz w:val="22"/>
          <w:szCs w:val="22"/>
        </w:rPr>
        <w:t>擔任中央研究院院士或曾任中央研究院研究員者。</w:t>
      </w:r>
    </w:p>
    <w:p w:rsidR="002E13FB" w:rsidRPr="00037EDD" w:rsidRDefault="002E13FB" w:rsidP="002E13FB">
      <w:pPr>
        <w:spacing w:line="340" w:lineRule="exact"/>
        <w:ind w:left="480"/>
        <w:rPr>
          <w:rFonts w:ascii="微軟正黑體" w:eastAsia="微軟正黑體" w:hAnsi="微軟正黑體"/>
          <w:sz w:val="22"/>
          <w:szCs w:val="22"/>
        </w:rPr>
      </w:pPr>
      <w:r w:rsidRPr="00037EDD">
        <w:rPr>
          <w:rFonts w:ascii="微軟正黑體" w:eastAsia="微軟正黑體" w:hAnsi="微軟正黑體"/>
          <w:sz w:val="22"/>
          <w:szCs w:val="22"/>
        </w:rPr>
        <w:t>3.</w:t>
      </w:r>
      <w:r w:rsidRPr="00037EDD">
        <w:rPr>
          <w:rFonts w:ascii="微軟正黑體" w:eastAsia="微軟正黑體" w:hAnsi="微軟正黑體" w:hint="eastAsia"/>
          <w:sz w:val="22"/>
          <w:szCs w:val="22"/>
        </w:rPr>
        <w:t>曾任副教授或擔任中央研究院副研究員，在學術或專業上著有成就者。</w:t>
      </w:r>
    </w:p>
    <w:p w:rsidR="002E13FB" w:rsidRPr="00037EDD" w:rsidRDefault="002E13FB" w:rsidP="002E13FB">
      <w:pPr>
        <w:spacing w:line="340" w:lineRule="exact"/>
        <w:ind w:left="480"/>
        <w:rPr>
          <w:rFonts w:ascii="微軟正黑體" w:eastAsia="微軟正黑體" w:hAnsi="微軟正黑體"/>
          <w:sz w:val="22"/>
          <w:szCs w:val="22"/>
        </w:rPr>
      </w:pPr>
      <w:r w:rsidRPr="00037EDD">
        <w:rPr>
          <w:rFonts w:ascii="微軟正黑體" w:eastAsia="微軟正黑體" w:hAnsi="微軟正黑體"/>
          <w:sz w:val="22"/>
          <w:szCs w:val="22"/>
        </w:rPr>
        <w:t>4.</w:t>
      </w:r>
      <w:r w:rsidRPr="00037EDD">
        <w:rPr>
          <w:rFonts w:ascii="微軟正黑體" w:eastAsia="微軟正黑體" w:hAnsi="微軟正黑體" w:hint="eastAsia"/>
          <w:sz w:val="22"/>
          <w:szCs w:val="22"/>
        </w:rPr>
        <w:t>獲有博士學位，在學術上著有成就者。</w:t>
      </w:r>
    </w:p>
    <w:p w:rsidR="002E13FB" w:rsidRPr="00037EDD" w:rsidRDefault="002E13FB" w:rsidP="002E13FB">
      <w:pPr>
        <w:spacing w:line="340" w:lineRule="exact"/>
        <w:ind w:left="480"/>
        <w:rPr>
          <w:rFonts w:ascii="微軟正黑體" w:eastAsia="微軟正黑體" w:hAnsi="微軟正黑體"/>
          <w:sz w:val="22"/>
          <w:szCs w:val="22"/>
        </w:rPr>
      </w:pPr>
      <w:r w:rsidRPr="00037EDD">
        <w:rPr>
          <w:rFonts w:ascii="微軟正黑體" w:eastAsia="微軟正黑體" w:hAnsi="微軟正黑體"/>
          <w:sz w:val="22"/>
          <w:szCs w:val="22"/>
        </w:rPr>
        <w:t>5.</w:t>
      </w:r>
      <w:r w:rsidRPr="00037EDD">
        <w:rPr>
          <w:rFonts w:ascii="微軟正黑體" w:eastAsia="微軟正黑體" w:hAnsi="微軟正黑體" w:hint="eastAsia"/>
          <w:sz w:val="22"/>
          <w:szCs w:val="22"/>
        </w:rPr>
        <w:t>屬於稀少性或特殊性學科，在學術或專業上著有成就者。</w:t>
      </w:r>
    </w:p>
    <w:p w:rsidR="002E13FB" w:rsidRPr="00037EDD" w:rsidRDefault="002E13FB" w:rsidP="002E13FB">
      <w:pPr>
        <w:spacing w:line="340" w:lineRule="exact"/>
        <w:ind w:left="480"/>
        <w:rPr>
          <w:rFonts w:ascii="微軟正黑體" w:eastAsia="微軟正黑體" w:hAnsi="微軟正黑體"/>
          <w:b/>
          <w:sz w:val="22"/>
          <w:szCs w:val="22"/>
        </w:rPr>
      </w:pPr>
    </w:p>
    <w:p w:rsidR="002E13FB" w:rsidRPr="00037EDD" w:rsidRDefault="002E13FB" w:rsidP="002E13FB">
      <w:pPr>
        <w:widowControl/>
        <w:spacing w:before="100" w:beforeAutospacing="1" w:after="100" w:afterAutospacing="1"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b/>
          <w:kern w:val="0"/>
          <w:sz w:val="22"/>
          <w:szCs w:val="22"/>
        </w:rPr>
        <w:lastRenderedPageBreak/>
        <w:t>第九條</w:t>
      </w:r>
      <w:r w:rsidRPr="00037EDD">
        <w:rPr>
          <w:rFonts w:ascii="微軟正黑體" w:eastAsia="微軟正黑體" w:hAnsi="微軟正黑體" w:cs="新細明體"/>
          <w:kern w:val="0"/>
          <w:sz w:val="22"/>
          <w:szCs w:val="22"/>
        </w:rPr>
        <w:t xml:space="preserve"> </w:t>
      </w:r>
      <w:r w:rsidRPr="00037EDD">
        <w:rPr>
          <w:rFonts w:ascii="微軟正黑體" w:eastAsia="微軟正黑體" w:hAnsi="微軟正黑體" w:cs="新細明體" w:hint="eastAsia"/>
          <w:kern w:val="0"/>
          <w:sz w:val="22"/>
          <w:szCs w:val="22"/>
        </w:rPr>
        <w:t>〈選定指導教授〉</w:t>
      </w:r>
      <w:r w:rsidRPr="00037EDD">
        <w:rPr>
          <w:rFonts w:ascii="微軟正黑體" w:eastAsia="微軟正黑體" w:hAnsi="微軟正黑體" w:cs="新細明體"/>
          <w:kern w:val="0"/>
          <w:sz w:val="22"/>
          <w:szCs w:val="22"/>
        </w:rPr>
        <w:br/>
      </w:r>
      <w:r w:rsidRPr="00037EDD">
        <w:rPr>
          <w:rFonts w:ascii="微軟正黑體" w:eastAsia="微軟正黑體" w:hAnsi="微軟正黑體" w:hint="eastAsia"/>
          <w:sz w:val="22"/>
          <w:szCs w:val="22"/>
        </w:rPr>
        <w:t>博士生最遲應於入學後第三學年第一學期結束前選定本系專任教師為指導教授，並獲其書面同意；未確定者，應向本系博士班委員會提出書面報告說明，並且於次一學期內完成選定本系專任教師為指導教授。</w:t>
      </w:r>
      <w:r w:rsidRPr="00037EDD">
        <w:rPr>
          <w:rFonts w:ascii="微軟正黑體" w:eastAsia="微軟正黑體" w:hAnsi="微軟正黑體" w:cs="新細明體" w:hint="eastAsia"/>
          <w:kern w:val="0"/>
          <w:sz w:val="22"/>
          <w:szCs w:val="22"/>
        </w:rPr>
        <w:t>必要時其得敦請本系所以外教師共同指導之。〈更換指導教授〉學生因故必須更換指導教授者，須提</w:t>
      </w:r>
      <w:r w:rsidRPr="00037EDD">
        <w:rPr>
          <w:rFonts w:ascii="微軟正黑體" w:eastAsia="微軟正黑體" w:hAnsi="微軟正黑體" w:hint="eastAsia"/>
          <w:sz w:val="22"/>
          <w:szCs w:val="22"/>
        </w:rPr>
        <w:t>報本系博士班委員會並依校方相關規定辦理。</w:t>
      </w:r>
    </w:p>
    <w:p w:rsidR="002E13FB" w:rsidRDefault="002E13FB" w:rsidP="002E13FB">
      <w:pPr>
        <w:widowControl/>
        <w:spacing w:before="100" w:beforeAutospacing="1" w:after="100" w:afterAutospacing="1"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b/>
          <w:kern w:val="0"/>
          <w:sz w:val="22"/>
          <w:szCs w:val="22"/>
        </w:rPr>
        <w:t>第十條</w:t>
      </w:r>
      <w:r w:rsidRPr="00037EDD">
        <w:rPr>
          <w:rFonts w:ascii="微軟正黑體" w:eastAsia="微軟正黑體" w:hAnsi="微軟正黑體" w:cs="新細明體"/>
          <w:b/>
          <w:kern w:val="0"/>
          <w:sz w:val="22"/>
          <w:szCs w:val="22"/>
        </w:rPr>
        <w:t xml:space="preserve"> </w:t>
      </w:r>
      <w:r w:rsidRPr="00037EDD">
        <w:rPr>
          <w:rFonts w:ascii="微軟正黑體" w:eastAsia="微軟正黑體" w:hAnsi="微軟正黑體" w:cs="新細明體" w:hint="eastAsia"/>
          <w:kern w:val="0"/>
          <w:sz w:val="22"/>
          <w:szCs w:val="22"/>
        </w:rPr>
        <w:t>〈博士學位候選人資格考〉</w:t>
      </w:r>
      <w:r w:rsidRPr="00037EDD">
        <w:rPr>
          <w:rFonts w:ascii="微軟正黑體" w:eastAsia="微軟正黑體" w:hAnsi="微軟正黑體" w:cs="新細明體"/>
          <w:kern w:val="0"/>
          <w:sz w:val="22"/>
          <w:szCs w:val="22"/>
        </w:rPr>
        <w:br/>
      </w:r>
      <w:r w:rsidRPr="00037EDD">
        <w:rPr>
          <w:rFonts w:ascii="微軟正黑體" w:eastAsia="微軟正黑體" w:hAnsi="微軟正黑體" w:cs="新細明體" w:hint="eastAsia"/>
          <w:kern w:val="0"/>
          <w:sz w:val="22"/>
          <w:szCs w:val="22"/>
        </w:rPr>
        <w:t>博士生應於修畢本辦法第三條規定之學分後，且於修業四年內申請參加博士學位候選人資格考試〈以下簡稱資格考試〉；</w:t>
      </w:r>
      <w:r w:rsidRPr="00254978">
        <w:rPr>
          <w:rFonts w:ascii="華康儷宋 Std W5" w:eastAsia="華康儷宋 Std W5" w:hAnsi="華康儷宋 Std W5" w:hint="eastAsia"/>
          <w:b/>
          <w:color w:val="000000" w:themeColor="text1"/>
          <w:kern w:val="0"/>
          <w:sz w:val="22"/>
          <w:szCs w:val="22"/>
          <w:u w:val="single"/>
        </w:rPr>
        <w:t>所有申請「逕行修讀博士學位學生」必須</w:t>
      </w:r>
      <w:r w:rsidRPr="00254978">
        <w:rPr>
          <w:rFonts w:ascii="華康儷宋 Std W5" w:eastAsia="華康儷宋 Std W5" w:hAnsi="華康儷宋 Std W5" w:hint="eastAsia"/>
          <w:b/>
          <w:color w:val="000000" w:themeColor="text1"/>
          <w:sz w:val="22"/>
          <w:szCs w:val="22"/>
          <w:u w:val="single"/>
        </w:rPr>
        <w:t>於修業三年內提出申請</w:t>
      </w:r>
      <w:r w:rsidRPr="00037EDD">
        <w:rPr>
          <w:rFonts w:ascii="微軟正黑體" w:eastAsia="微軟正黑體" w:hAnsi="微軟正黑體" w:cs="新細明體" w:hint="eastAsia"/>
          <w:kern w:val="0"/>
          <w:sz w:val="22"/>
          <w:szCs w:val="22"/>
        </w:rPr>
        <w:t>。</w:t>
      </w:r>
    </w:p>
    <w:p w:rsidR="002E13FB" w:rsidRPr="00037EDD" w:rsidRDefault="002E13FB" w:rsidP="002E13FB">
      <w:pPr>
        <w:widowControl/>
        <w:spacing w:before="100" w:beforeAutospacing="1" w:after="100" w:afterAutospacing="1"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資格考試共三科，其中「社會科學研究方法」為必考，另選擇其他必修科目一科，及專長領域科目一科為考試科目。由指導教授鑒請本系博士班委員會通過後實施。</w:t>
      </w:r>
    </w:p>
    <w:p w:rsidR="002E13FB" w:rsidRPr="00037EDD" w:rsidRDefault="002E13FB" w:rsidP="002E13FB">
      <w:pPr>
        <w:widowControl/>
        <w:spacing w:before="100" w:beforeAutospacing="1" w:after="100" w:afterAutospacing="1"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若因論文研究方向或重點修正，擬變更考試科目，應由其指導教授建議，並經由本系博班委員會同意，始得變更。</w:t>
      </w:r>
    </w:p>
    <w:p w:rsidR="00E854C3" w:rsidRPr="00254978" w:rsidRDefault="002E13FB" w:rsidP="00E854C3">
      <w:pPr>
        <w:widowControl/>
        <w:spacing w:line="360" w:lineRule="exact"/>
        <w:rPr>
          <w:rFonts w:ascii="華康儷宋 Std W5" w:eastAsia="華康儷宋 Std W5" w:hAnsi="華康儷宋 Std W5"/>
          <w:b/>
          <w:color w:val="000000" w:themeColor="text1"/>
          <w:kern w:val="0"/>
          <w:sz w:val="22"/>
          <w:szCs w:val="22"/>
          <w:u w:val="single"/>
        </w:rPr>
      </w:pPr>
      <w:r w:rsidRPr="00037EDD">
        <w:rPr>
          <w:rFonts w:ascii="微軟正黑體" w:eastAsia="微軟正黑體" w:hAnsi="微軟正黑體" w:cs="新細明體" w:hint="eastAsia"/>
          <w:kern w:val="0"/>
          <w:sz w:val="22"/>
          <w:szCs w:val="22"/>
        </w:rPr>
        <w:t>資格考試以筆試為之，筆試時間每科以四小時為限。資格考試得於同一學期或連續兩學期分別考完。</w:t>
      </w:r>
      <w:r w:rsidRPr="00037EDD">
        <w:rPr>
          <w:rFonts w:ascii="微軟正黑體" w:eastAsia="微軟正黑體" w:hAnsi="微軟正黑體" w:cs="新細明體"/>
          <w:kern w:val="0"/>
          <w:sz w:val="22"/>
          <w:szCs w:val="22"/>
        </w:rPr>
        <w:br/>
      </w:r>
      <w:r w:rsidRPr="00037EDD">
        <w:rPr>
          <w:rFonts w:ascii="微軟正黑體" w:eastAsia="微軟正黑體" w:hAnsi="微軟正黑體" w:cs="新細明體" w:hint="eastAsia"/>
          <w:kern w:val="0"/>
          <w:sz w:val="22"/>
          <w:szCs w:val="22"/>
        </w:rPr>
        <w:t>資格考試以七十分為及格，不及格者得於次學期申請重考一次，重考仍不及格者，應予退學</w:t>
      </w:r>
      <w:r>
        <w:rPr>
          <w:rFonts w:ascii="微軟正黑體" w:eastAsia="微軟正黑體" w:hAnsi="微軟正黑體" w:cs="新細明體" w:hint="eastAsia"/>
          <w:kern w:val="0"/>
          <w:sz w:val="22"/>
          <w:szCs w:val="22"/>
        </w:rPr>
        <w:t>；</w:t>
      </w:r>
      <w:r w:rsidRPr="00254978">
        <w:rPr>
          <w:rFonts w:ascii="華康儷宋 Std W5" w:eastAsia="華康儷宋 Std W5" w:hAnsi="華康儷宋 Std W5" w:hint="eastAsia"/>
          <w:b/>
          <w:color w:val="000000" w:themeColor="text1"/>
          <w:kern w:val="0"/>
          <w:sz w:val="22"/>
          <w:szCs w:val="22"/>
          <w:u w:val="single"/>
        </w:rPr>
        <w:t>本系逕行修讀博士學位學生資格考重考仍不及格者，得依本校國立臺灣大學學生逕行修讀博士學位辦法轉入(回)本系碩士班就讀。</w:t>
      </w:r>
    </w:p>
    <w:p w:rsidR="00E854C3" w:rsidRDefault="00E854C3" w:rsidP="00E854C3">
      <w:pPr>
        <w:widowControl/>
        <w:spacing w:line="360" w:lineRule="exact"/>
        <w:rPr>
          <w:rFonts w:ascii="微軟正黑體" w:eastAsia="微軟正黑體" w:hAnsi="微軟正黑體" w:cs="新細明體"/>
          <w:kern w:val="0"/>
          <w:sz w:val="22"/>
          <w:szCs w:val="22"/>
        </w:rPr>
      </w:pPr>
      <w:r w:rsidRPr="00254978">
        <w:rPr>
          <w:rFonts w:ascii="華康儷宋 Std W5" w:eastAsia="華康儷宋 Std W5" w:hAnsi="華康儷宋 Std W5" w:hint="eastAsia"/>
          <w:b/>
          <w:color w:val="000000" w:themeColor="text1"/>
          <w:kern w:val="0"/>
          <w:sz w:val="22"/>
          <w:szCs w:val="22"/>
          <w:u w:val="single"/>
        </w:rPr>
        <w:t>未於規定時間內提出考試者，視同資格考試重考不及格，應予退學。</w:t>
      </w:r>
    </w:p>
    <w:p w:rsidR="002E13FB" w:rsidRDefault="002E13FB" w:rsidP="00E854C3">
      <w:pPr>
        <w:widowControl/>
        <w:spacing w:line="36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考試科目之各科命題委員二人，由本系博士班委員會建議、經系主任聘任校內、外各一</w:t>
      </w:r>
      <w:bookmarkStart w:id="2" w:name="_GoBack"/>
      <w:bookmarkEnd w:id="2"/>
      <w:r w:rsidRPr="00037EDD">
        <w:rPr>
          <w:rFonts w:ascii="微軟正黑體" w:eastAsia="微軟正黑體" w:hAnsi="微軟正黑體" w:cs="新細明體" w:hint="eastAsia"/>
          <w:kern w:val="0"/>
          <w:sz w:val="22"/>
          <w:szCs w:val="22"/>
        </w:rPr>
        <w:t>人為之。</w:t>
      </w:r>
    </w:p>
    <w:p w:rsidR="00E854C3" w:rsidRPr="00037EDD" w:rsidRDefault="00E854C3" w:rsidP="00E854C3">
      <w:pPr>
        <w:widowControl/>
        <w:spacing w:line="360" w:lineRule="exact"/>
        <w:rPr>
          <w:rFonts w:ascii="微軟正黑體" w:eastAsia="微軟正黑體" w:hAnsi="微軟正黑體" w:cs="新細明體"/>
          <w:kern w:val="0"/>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cs="新細明體" w:hint="eastAsia"/>
          <w:b/>
          <w:kern w:val="0"/>
          <w:sz w:val="22"/>
          <w:szCs w:val="22"/>
        </w:rPr>
        <w:t>第十一條</w:t>
      </w:r>
      <w:r w:rsidRPr="00037EDD">
        <w:rPr>
          <w:rFonts w:ascii="微軟正黑體" w:eastAsia="微軟正黑體" w:hAnsi="微軟正黑體" w:cs="新細明體"/>
          <w:b/>
          <w:kern w:val="0"/>
          <w:sz w:val="22"/>
          <w:szCs w:val="22"/>
        </w:rPr>
        <w:t xml:space="preserve"> </w:t>
      </w:r>
      <w:r w:rsidRPr="00037EDD">
        <w:rPr>
          <w:rFonts w:ascii="微軟正黑體" w:eastAsia="微軟正黑體" w:hAnsi="微軟正黑體" w:hint="eastAsia"/>
          <w:sz w:val="22"/>
          <w:szCs w:val="22"/>
        </w:rPr>
        <w:t>〈博士論文寫作計畫口試〉</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hint="eastAsia"/>
          <w:sz w:val="22"/>
          <w:szCs w:val="22"/>
        </w:rPr>
        <w:t>博士生須於專業領域內</w:t>
      </w:r>
      <w:r w:rsidRPr="00037EDD">
        <w:rPr>
          <w:rFonts w:ascii="微軟正黑體" w:eastAsia="微軟正黑體" w:hAnsi="微軟正黑體" w:cs="新細明體" w:hint="eastAsia"/>
          <w:kern w:val="0"/>
          <w:sz w:val="22"/>
          <w:szCs w:val="22"/>
        </w:rPr>
        <w:t>選定論文方向，並經指導教授同意擬定論文題目，於資格考試通過後，申請論文寫作計畫口試。</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〈論文寫作計畫口試委員資格〉</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博士論文寫作計畫之口試由指導教授及符合辦法第八條資格規定之口試委員組成，該委員會人選由指導教授向博士班委員會提出建議名單，經系主任延聘之。</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〈論文寫作計畫口試委員〉</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論文口試委員會由委員五至九人組成，指導教授為當然委員。委員會的人選至少有兩名必須來自校外，但因特殊原因經博士班委員會同意者不在此限。口試過程中，指導教授不得擔任口試委員會的主席。</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博士論文口試由原論文寫作計畫口試委員擔任之，若原口試委員因故不能出任，經指導教授向博士班委員會提出建議名單，由系主任另補聘具本辦法第八條規定之資格者充任之。</w:t>
      </w:r>
    </w:p>
    <w:p w:rsidR="002E13FB" w:rsidRPr="00037EDD" w:rsidRDefault="002E13FB" w:rsidP="002E13FB">
      <w:pPr>
        <w:spacing w:line="340" w:lineRule="exact"/>
        <w:rPr>
          <w:rFonts w:ascii="微軟正黑體" w:eastAsia="微軟正黑體" w:hAnsi="微軟正黑體" w:cs="新細明體"/>
          <w:kern w:val="0"/>
          <w:sz w:val="22"/>
          <w:szCs w:val="22"/>
        </w:rPr>
      </w:pPr>
      <w:r w:rsidRPr="00037EDD">
        <w:rPr>
          <w:rFonts w:ascii="微軟正黑體" w:eastAsia="微軟正黑體" w:hAnsi="微軟正黑體" w:cs="新細明體" w:hint="eastAsia"/>
          <w:kern w:val="0"/>
          <w:sz w:val="22"/>
          <w:szCs w:val="22"/>
        </w:rPr>
        <w:t>博士論文寫作計畫口試須經出席口試委員半數以上通過，不通過者得重考一次，重考不及格者，應予退學。</w:t>
      </w:r>
    </w:p>
    <w:p w:rsidR="002E13FB" w:rsidRPr="00037EDD" w:rsidRDefault="002E13FB" w:rsidP="002E13FB">
      <w:pPr>
        <w:spacing w:line="340" w:lineRule="exact"/>
        <w:rPr>
          <w:rFonts w:ascii="微軟正黑體" w:eastAsia="微軟正黑體" w:hAnsi="微軟正黑體" w:cs="新細明體"/>
          <w:kern w:val="0"/>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第十二條</w:t>
      </w:r>
      <w:r w:rsidRPr="00037EDD">
        <w:rPr>
          <w:rFonts w:ascii="微軟正黑體" w:eastAsia="微軟正黑體" w:hAnsi="微軟正黑體"/>
          <w:sz w:val="22"/>
          <w:szCs w:val="22"/>
        </w:rPr>
        <w:t xml:space="preserve"> (</w:t>
      </w:r>
      <w:r w:rsidRPr="00037EDD">
        <w:rPr>
          <w:rFonts w:ascii="微軟正黑體" w:eastAsia="微軟正黑體" w:hAnsi="微軟正黑體" w:hint="eastAsia"/>
          <w:sz w:val="22"/>
          <w:szCs w:val="22"/>
        </w:rPr>
        <w:t>論文發表</w:t>
      </w:r>
      <w:r w:rsidRPr="00037EDD">
        <w:rPr>
          <w:rFonts w:ascii="微軟正黑體" w:eastAsia="微軟正黑體" w:hAnsi="微軟正黑體"/>
          <w:sz w:val="22"/>
          <w:szCs w:val="22"/>
        </w:rPr>
        <w:t>)</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一、博士生在提出博士論文口試前，必須取得曾經在具有嚴謹審查制度的國內外學術期刊發表過一篇論文或專書發表至少二篇的證明，始得進行論文口試；本規定適用於所有仍在學之博士生。</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二、前項所指論文須為入學後出版且為第一作者始得計入。</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tabs>
          <w:tab w:val="left" w:pos="3345"/>
        </w:tabs>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第十三條</w:t>
      </w:r>
      <w:r w:rsidRPr="00037EDD">
        <w:rPr>
          <w:rFonts w:ascii="微軟正黑體" w:eastAsia="微軟正黑體" w:hAnsi="微軟正黑體"/>
          <w:sz w:val="22"/>
          <w:szCs w:val="22"/>
        </w:rPr>
        <w:t>(</w:t>
      </w:r>
      <w:r w:rsidRPr="00037EDD">
        <w:rPr>
          <w:rFonts w:ascii="微軟正黑體" w:eastAsia="微軟正黑體" w:hAnsi="微軟正黑體" w:hint="eastAsia"/>
          <w:sz w:val="22"/>
          <w:szCs w:val="22"/>
        </w:rPr>
        <w:t>國外研習三到六個月</w:t>
      </w:r>
      <w:r w:rsidRPr="00037EDD">
        <w:rPr>
          <w:rFonts w:ascii="微軟正黑體" w:eastAsia="微軟正黑體" w:hAnsi="微軟正黑體"/>
          <w:sz w:val="22"/>
          <w:szCs w:val="22"/>
        </w:rPr>
        <w:t>)</w:t>
      </w:r>
      <w:r w:rsidRPr="00037EDD">
        <w:rPr>
          <w:rFonts w:ascii="微軟正黑體" w:eastAsia="微軟正黑體" w:hAnsi="微軟正黑體"/>
          <w:sz w:val="22"/>
          <w:szCs w:val="22"/>
        </w:rPr>
        <w:tab/>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博士生在通過博士學位候選人資格考試後，至論文完成前，必須選擇赴國外社會工作或社會福利具有指</w:t>
      </w:r>
      <w:r w:rsidRPr="00037EDD">
        <w:rPr>
          <w:rFonts w:ascii="微軟正黑體" w:eastAsia="微軟正黑體" w:hAnsi="微軟正黑體" w:hint="eastAsia"/>
          <w:sz w:val="22"/>
          <w:szCs w:val="22"/>
        </w:rPr>
        <w:lastRenderedPageBreak/>
        <w:t>導博士生研究之能力的國外相關學術研究機構進行國外研習</w:t>
      </w:r>
      <w:r w:rsidRPr="00037EDD">
        <w:rPr>
          <w:rFonts w:ascii="微軟正黑體" w:eastAsia="微軟正黑體" w:hAnsi="微軟正黑體"/>
          <w:sz w:val="22"/>
          <w:szCs w:val="22"/>
        </w:rPr>
        <w:t>(</w:t>
      </w:r>
      <w:r w:rsidRPr="00037EDD">
        <w:rPr>
          <w:rFonts w:ascii="微軟正黑體" w:eastAsia="微軟正黑體" w:hAnsi="微軟正黑體" w:hint="eastAsia"/>
          <w:sz w:val="22"/>
          <w:szCs w:val="22"/>
        </w:rPr>
        <w:t>不包含大陸、香港、澳門地區；香港大學除外</w:t>
      </w:r>
      <w:r w:rsidRPr="00037EDD">
        <w:rPr>
          <w:rFonts w:ascii="微軟正黑體" w:eastAsia="微軟正黑體" w:hAnsi="微軟正黑體"/>
          <w:sz w:val="22"/>
          <w:szCs w:val="22"/>
        </w:rPr>
        <w:t>)</w:t>
      </w:r>
      <w:r w:rsidRPr="00037EDD">
        <w:rPr>
          <w:rFonts w:ascii="微軟正黑體" w:eastAsia="微軟正黑體" w:hAnsi="微軟正黑體" w:hint="eastAsia"/>
          <w:sz w:val="22"/>
          <w:szCs w:val="22"/>
        </w:rPr>
        <w:t>，其研習計畫經博士班委員會認可後施行。研習計畫書必須於計畫執行前六週提出；</w:t>
      </w:r>
      <w:r w:rsidRPr="00037EDD">
        <w:rPr>
          <w:rFonts w:ascii="微軟正黑體" w:eastAsia="微軟正黑體" w:hAnsi="微軟正黑體" w:hint="eastAsia"/>
          <w:kern w:val="0"/>
          <w:sz w:val="22"/>
          <w:szCs w:val="22"/>
        </w:rPr>
        <w:t>學生返國後一個月內，須完成研習成果報告書，繳交博士班委員會備查</w:t>
      </w:r>
      <w:r w:rsidRPr="00037EDD">
        <w:rPr>
          <w:rFonts w:ascii="微軟正黑體" w:eastAsia="微軟正黑體" w:hAnsi="微軟正黑體" w:hint="eastAsia"/>
          <w:sz w:val="22"/>
          <w:szCs w:val="22"/>
        </w:rPr>
        <w:t>。</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第十四條</w:t>
      </w:r>
      <w:r w:rsidRPr="00037EDD">
        <w:rPr>
          <w:rFonts w:ascii="微軟正黑體" w:eastAsia="微軟正黑體" w:hAnsi="微軟正黑體"/>
          <w:sz w:val="22"/>
          <w:szCs w:val="22"/>
        </w:rPr>
        <w:t xml:space="preserve">  </w:t>
      </w:r>
      <w:r w:rsidRPr="00037EDD">
        <w:rPr>
          <w:rFonts w:ascii="微軟正黑體" w:eastAsia="微軟正黑體" w:hAnsi="微軟正黑體" w:hint="eastAsia"/>
          <w:sz w:val="22"/>
          <w:szCs w:val="22"/>
        </w:rPr>
        <w:t>〈博士論文口試〉</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一、博士生於完成論文寫作後，經指導教授的同意，得申請舉辦論文口試。口試過程中，指導教授不得擔任口試委員會主席。</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二、博士論文口試平均成績達B-以上者為及格，不及格者得重考一次，重考不及格者，應予退學。</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三、論文口試與博士論文寫作計畫書口試期間須間隔至少四個月以上。</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第十五條</w:t>
      </w:r>
      <w:r w:rsidRPr="00037EDD">
        <w:rPr>
          <w:rFonts w:ascii="微軟正黑體" w:eastAsia="微軟正黑體" w:hAnsi="微軟正黑體"/>
          <w:sz w:val="22"/>
          <w:szCs w:val="22"/>
        </w:rPr>
        <w:t xml:space="preserve">  </w:t>
      </w:r>
      <w:r w:rsidRPr="00037EDD">
        <w:rPr>
          <w:rFonts w:ascii="微軟正黑體" w:eastAsia="微軟正黑體" w:hAnsi="微軟正黑體" w:hint="eastAsia"/>
          <w:sz w:val="22"/>
          <w:szCs w:val="22"/>
        </w:rPr>
        <w:t>〈學位授與〉</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博士生修畢本辦法第三條之科目及學分數，並通過論文口試者，由本校授予博士學位。</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b/>
          <w:sz w:val="22"/>
          <w:szCs w:val="22"/>
        </w:rPr>
        <w:t>第十六條</w:t>
      </w:r>
      <w:r w:rsidRPr="00037EDD">
        <w:rPr>
          <w:rFonts w:ascii="微軟正黑體" w:eastAsia="微軟正黑體" w:hAnsi="微軟正黑體"/>
          <w:sz w:val="22"/>
          <w:szCs w:val="22"/>
        </w:rPr>
        <w:t xml:space="preserve">  </w:t>
      </w:r>
      <w:r w:rsidRPr="00037EDD">
        <w:rPr>
          <w:rFonts w:ascii="微軟正黑體" w:eastAsia="微軟正黑體" w:hAnsi="微軟正黑體" w:hint="eastAsia"/>
          <w:sz w:val="22"/>
          <w:szCs w:val="22"/>
        </w:rPr>
        <w:t>〈補充規定〉</w:t>
      </w:r>
    </w:p>
    <w:p w:rsidR="002E13FB" w:rsidRPr="00037EDD" w:rsidRDefault="002E13FB" w:rsidP="002E13FB">
      <w:pPr>
        <w:spacing w:line="340" w:lineRule="exact"/>
        <w:rPr>
          <w:rFonts w:ascii="微軟正黑體" w:eastAsia="微軟正黑體" w:hAnsi="微軟正黑體"/>
          <w:sz w:val="22"/>
          <w:szCs w:val="22"/>
        </w:rPr>
      </w:pPr>
      <w:r w:rsidRPr="00037EDD">
        <w:rPr>
          <w:rFonts w:ascii="微軟正黑體" w:eastAsia="微軟正黑體" w:hAnsi="微軟正黑體" w:hint="eastAsia"/>
          <w:sz w:val="22"/>
          <w:szCs w:val="22"/>
        </w:rPr>
        <w:t>本辦法若有未盡事宜悉依學校相關規定辦理。</w:t>
      </w:r>
    </w:p>
    <w:p w:rsidR="002E13FB" w:rsidRPr="00037EDD" w:rsidRDefault="002E13FB" w:rsidP="002E13FB">
      <w:pPr>
        <w:spacing w:line="340" w:lineRule="exact"/>
        <w:rPr>
          <w:rFonts w:ascii="微軟正黑體" w:eastAsia="微軟正黑體" w:hAnsi="微軟正黑體"/>
          <w:sz w:val="22"/>
          <w:szCs w:val="22"/>
        </w:rPr>
      </w:pPr>
    </w:p>
    <w:p w:rsidR="002E13FB" w:rsidRPr="00037EDD" w:rsidRDefault="002E13FB" w:rsidP="002E13FB">
      <w:pPr>
        <w:spacing w:line="340" w:lineRule="exact"/>
        <w:rPr>
          <w:rFonts w:ascii="微軟正黑體" w:eastAsia="微軟正黑體" w:hAnsi="微軟正黑體"/>
          <w:b/>
          <w:sz w:val="22"/>
          <w:szCs w:val="22"/>
        </w:rPr>
      </w:pPr>
      <w:r w:rsidRPr="00037EDD">
        <w:rPr>
          <w:rFonts w:ascii="微軟正黑體" w:eastAsia="微軟正黑體" w:hAnsi="微軟正黑體" w:hint="eastAsia"/>
          <w:b/>
          <w:sz w:val="22"/>
          <w:szCs w:val="22"/>
        </w:rPr>
        <w:t>第十七條</w:t>
      </w:r>
      <w:r w:rsidRPr="00037EDD">
        <w:rPr>
          <w:rFonts w:ascii="微軟正黑體" w:eastAsia="微軟正黑體" w:hAnsi="微軟正黑體"/>
          <w:b/>
          <w:sz w:val="22"/>
          <w:szCs w:val="22"/>
        </w:rPr>
        <w:t xml:space="preserve">  </w:t>
      </w:r>
      <w:r w:rsidRPr="00037EDD">
        <w:rPr>
          <w:rFonts w:ascii="微軟正黑體" w:eastAsia="微軟正黑體" w:hAnsi="微軟正黑體" w:hint="eastAsia"/>
          <w:b/>
          <w:sz w:val="22"/>
          <w:szCs w:val="22"/>
        </w:rPr>
        <w:t>〈實施效力〉</w:t>
      </w:r>
    </w:p>
    <w:p w:rsidR="002E13FB" w:rsidRPr="004641D2" w:rsidRDefault="002E13FB" w:rsidP="002E13FB">
      <w:pPr>
        <w:autoSpaceDE w:val="0"/>
        <w:rPr>
          <w:rFonts w:ascii="微軟正黑體" w:eastAsia="微軟正黑體" w:hAnsi="微軟正黑體"/>
        </w:rPr>
      </w:pPr>
      <w:r w:rsidRPr="00037EDD">
        <w:rPr>
          <w:rFonts w:ascii="微軟正黑體" w:eastAsia="微軟正黑體" w:hAnsi="微軟正黑體" w:hint="eastAsia"/>
          <w:sz w:val="22"/>
          <w:szCs w:val="22"/>
        </w:rPr>
        <w:t>本辦法經系務會議及院務會議通過並報校核備後，自發布日施行。</w:t>
      </w:r>
    </w:p>
    <w:p w:rsidR="005906C6" w:rsidRPr="002E13FB" w:rsidRDefault="005906C6"/>
    <w:sectPr w:rsidR="005906C6" w:rsidRPr="002E13FB" w:rsidSect="007C6D0E">
      <w:pgSz w:w="11907" w:h="16840" w:code="9"/>
      <w:pgMar w:top="958" w:right="902" w:bottom="992" w:left="1174"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DF" w:rsidRDefault="00B973DF" w:rsidP="00A72800">
      <w:r>
        <w:separator/>
      </w:r>
    </w:p>
  </w:endnote>
  <w:endnote w:type="continuationSeparator" w:id="0">
    <w:p w:rsidR="00B973DF" w:rsidRDefault="00B973DF" w:rsidP="00A7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儷宋 Std W5">
    <w:panose1 w:val="02020500000000000000"/>
    <w:charset w:val="88"/>
    <w:family w:val="roman"/>
    <w:notTrueType/>
    <w:pitch w:val="variable"/>
    <w:sig w:usb0="A00002FF" w:usb1="38CFFD7A" w:usb2="00000016" w:usb3="00000000" w:csb0="001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DF" w:rsidRDefault="00B973DF" w:rsidP="00A72800">
      <w:r>
        <w:separator/>
      </w:r>
    </w:p>
  </w:footnote>
  <w:footnote w:type="continuationSeparator" w:id="0">
    <w:p w:rsidR="00B973DF" w:rsidRDefault="00B973DF" w:rsidP="00A728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3D9"/>
    <w:multiLevelType w:val="hybridMultilevel"/>
    <w:tmpl w:val="32F8A4CE"/>
    <w:lvl w:ilvl="0" w:tplc="A006B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FB"/>
    <w:rsid w:val="000B1D68"/>
    <w:rsid w:val="001E6735"/>
    <w:rsid w:val="00254978"/>
    <w:rsid w:val="002E13FB"/>
    <w:rsid w:val="005906C6"/>
    <w:rsid w:val="007C6D0E"/>
    <w:rsid w:val="00A72800"/>
    <w:rsid w:val="00B973DF"/>
    <w:rsid w:val="00C65FE9"/>
    <w:rsid w:val="00E85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4E13A-8927-4DE4-9203-B7050A1C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3F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9">
    <w:name w:val="表格格線29"/>
    <w:basedOn w:val="a1"/>
    <w:next w:val="a3"/>
    <w:uiPriority w:val="59"/>
    <w:rsid w:val="002E13F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E1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800"/>
    <w:pPr>
      <w:tabs>
        <w:tab w:val="center" w:pos="4153"/>
        <w:tab w:val="right" w:pos="8306"/>
      </w:tabs>
      <w:snapToGrid w:val="0"/>
    </w:pPr>
    <w:rPr>
      <w:sz w:val="20"/>
      <w:szCs w:val="20"/>
    </w:rPr>
  </w:style>
  <w:style w:type="character" w:customStyle="1" w:styleId="a5">
    <w:name w:val="頁首 字元"/>
    <w:basedOn w:val="a0"/>
    <w:link w:val="a4"/>
    <w:uiPriority w:val="99"/>
    <w:rsid w:val="00A72800"/>
    <w:rPr>
      <w:rFonts w:ascii="Times New Roman" w:eastAsia="新細明體" w:hAnsi="Times New Roman" w:cs="Times New Roman"/>
      <w:sz w:val="20"/>
      <w:szCs w:val="20"/>
    </w:rPr>
  </w:style>
  <w:style w:type="paragraph" w:styleId="a6">
    <w:name w:val="footer"/>
    <w:basedOn w:val="a"/>
    <w:link w:val="a7"/>
    <w:uiPriority w:val="99"/>
    <w:unhideWhenUsed/>
    <w:rsid w:val="00A72800"/>
    <w:pPr>
      <w:tabs>
        <w:tab w:val="center" w:pos="4153"/>
        <w:tab w:val="right" w:pos="8306"/>
      </w:tabs>
      <w:snapToGrid w:val="0"/>
    </w:pPr>
    <w:rPr>
      <w:sz w:val="20"/>
      <w:szCs w:val="20"/>
    </w:rPr>
  </w:style>
  <w:style w:type="character" w:customStyle="1" w:styleId="a7">
    <w:name w:val="頁尾 字元"/>
    <w:basedOn w:val="a0"/>
    <w:link w:val="a6"/>
    <w:uiPriority w:val="99"/>
    <w:rsid w:val="00A7280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4</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ntusw</dc:creator>
  <cp:keywords/>
  <dc:description/>
  <cp:lastModifiedBy>Windows 使用者</cp:lastModifiedBy>
  <cp:revision>2</cp:revision>
  <dcterms:created xsi:type="dcterms:W3CDTF">2018-06-14T08:06:00Z</dcterms:created>
  <dcterms:modified xsi:type="dcterms:W3CDTF">2018-12-25T08:20:00Z</dcterms:modified>
</cp:coreProperties>
</file>